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2607" w:rsidRPr="00822607" w:rsidRDefault="00822607" w:rsidP="00822607">
      <w:pPr>
        <w:shd w:val="clear" w:color="auto" w:fill="FFFFFF"/>
        <w:spacing w:after="0" w:line="240" w:lineRule="auto"/>
        <w:outlineLvl w:val="3"/>
        <w:rPr>
          <w:rFonts w:ascii="Tahoma" w:eastAsia="Times New Roman" w:hAnsi="Tahoma" w:cs="Tahoma"/>
          <w:b/>
          <w:bCs/>
          <w:color w:val="000000"/>
          <w:lang w:val="ru-RU" w:eastAsia="ru-KZ"/>
        </w:rPr>
      </w:pPr>
      <w:r>
        <w:rPr>
          <w:rFonts w:ascii="Tahoma" w:eastAsia="Times New Roman" w:hAnsi="Tahoma" w:cs="Tahoma"/>
          <w:b/>
          <w:bCs/>
          <w:color w:val="000000"/>
          <w:lang w:val="ru-RU" w:eastAsia="ru-KZ"/>
        </w:rPr>
        <w:t>Лекция 5 (Продолжение</w:t>
      </w:r>
      <w:bookmarkStart w:id="0" w:name="_GoBack"/>
      <w:bookmarkEnd w:id="0"/>
      <w:r>
        <w:rPr>
          <w:rFonts w:ascii="Tahoma" w:eastAsia="Times New Roman" w:hAnsi="Tahoma" w:cs="Tahoma"/>
          <w:b/>
          <w:bCs/>
          <w:color w:val="000000"/>
          <w:lang w:val="ru-RU" w:eastAsia="ru-KZ"/>
        </w:rPr>
        <w:t>)</w:t>
      </w:r>
    </w:p>
    <w:p w:rsidR="00822607" w:rsidRDefault="00822607" w:rsidP="00822607">
      <w:pPr>
        <w:shd w:val="clear" w:color="auto" w:fill="FFFFFF"/>
        <w:spacing w:after="0" w:line="240" w:lineRule="auto"/>
        <w:outlineLvl w:val="3"/>
        <w:rPr>
          <w:rFonts w:ascii="Tahoma" w:eastAsia="Times New Roman" w:hAnsi="Tahoma" w:cs="Tahoma"/>
          <w:b/>
          <w:bCs/>
          <w:color w:val="000000"/>
          <w:lang w:eastAsia="ru-KZ"/>
        </w:rPr>
      </w:pPr>
    </w:p>
    <w:p w:rsidR="00822607" w:rsidRPr="00822607" w:rsidRDefault="00822607" w:rsidP="00822607">
      <w:pPr>
        <w:shd w:val="clear" w:color="auto" w:fill="FFFFFF"/>
        <w:spacing w:after="0" w:line="240" w:lineRule="auto"/>
        <w:outlineLvl w:val="3"/>
        <w:rPr>
          <w:rFonts w:ascii="Tahoma" w:eastAsia="Times New Roman" w:hAnsi="Tahoma" w:cs="Tahoma"/>
          <w:b/>
          <w:bCs/>
          <w:color w:val="000000"/>
          <w:lang w:eastAsia="ru-KZ"/>
        </w:rPr>
      </w:pPr>
      <w:r w:rsidRPr="00822607">
        <w:rPr>
          <w:rFonts w:ascii="Tahoma" w:eastAsia="Times New Roman" w:hAnsi="Tahoma" w:cs="Tahoma"/>
          <w:b/>
          <w:bCs/>
          <w:color w:val="000000"/>
          <w:lang w:eastAsia="ru-KZ"/>
        </w:rPr>
        <w:t>Анализ и управление рисками при реализации информационной безопасности</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Одним из важнейших аспектов реализации политики ИБ является анализ угроз, оценка их достоверности и тяжести вероятных последствий. Реально риск появляется там, где есть вероятность осуществления угрозы, при этом величина риска прямо пропорциональна величине этой вероятности (</w:t>
      </w:r>
      <w:hyperlink r:id="rId5" w:anchor="image.4.11" w:history="1">
        <w:r w:rsidRPr="00822607">
          <w:rPr>
            <w:rFonts w:ascii="Tahoma" w:eastAsia="Times New Roman" w:hAnsi="Tahoma" w:cs="Tahoma"/>
            <w:color w:val="0071A6"/>
            <w:sz w:val="18"/>
            <w:szCs w:val="18"/>
            <w:u w:val="single"/>
            <w:lang w:eastAsia="ru-KZ"/>
          </w:rPr>
          <w:t>рис. 4.11</w:t>
        </w:r>
      </w:hyperlink>
      <w:r w:rsidRPr="00822607">
        <w:rPr>
          <w:rFonts w:ascii="Tahoma" w:eastAsia="Times New Roman" w:hAnsi="Tahoma" w:cs="Tahoma"/>
          <w:color w:val="000000"/>
          <w:sz w:val="18"/>
          <w:szCs w:val="18"/>
          <w:lang w:eastAsia="ru-KZ"/>
        </w:rPr>
        <w:t>).</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Суть деятельности по управлению рисками состоит в том, чтобы оценить их размер, выработать меры по уменьшению и создать механизм контроля того, что остаточные риски не выходят за приемлемые ограничения. Таким образом, управление рисками включает в себя два вида деятельности: оценка рисков и выбор эффективных и экономичных защитных и регулирующих механизмов. Процесс управления рисками можно подразделить на следующие этапы [Галатенко В. А., 2006]:</w:t>
      </w:r>
    </w:p>
    <w:p w:rsidR="00822607" w:rsidRPr="00822607" w:rsidRDefault="00822607" w:rsidP="00822607">
      <w:pPr>
        <w:numPr>
          <w:ilvl w:val="0"/>
          <w:numId w:val="1"/>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идентификация активов и ценности ресурсов, нуждающихся в защите;</w:t>
      </w:r>
    </w:p>
    <w:p w:rsidR="00822607" w:rsidRPr="00822607" w:rsidRDefault="00822607" w:rsidP="00822607">
      <w:pPr>
        <w:numPr>
          <w:ilvl w:val="0"/>
          <w:numId w:val="1"/>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выбор анализируемых объектов и степени детальности их рассмотрения;</w:t>
      </w:r>
    </w:p>
    <w:p w:rsidR="00822607" w:rsidRPr="00822607" w:rsidRDefault="00822607" w:rsidP="00822607">
      <w:pPr>
        <w:numPr>
          <w:ilvl w:val="0"/>
          <w:numId w:val="1"/>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анализ угроз и их последствий, определение слабостей в защите;</w:t>
      </w:r>
    </w:p>
    <w:p w:rsidR="00822607" w:rsidRPr="00822607" w:rsidRDefault="00822607" w:rsidP="00822607">
      <w:pPr>
        <w:numPr>
          <w:ilvl w:val="0"/>
          <w:numId w:val="1"/>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классификация рисков, выбор методологии оценки рисков и проведение оценки;</w:t>
      </w:r>
    </w:p>
    <w:p w:rsidR="00822607" w:rsidRPr="00822607" w:rsidRDefault="00822607" w:rsidP="00822607">
      <w:pPr>
        <w:numPr>
          <w:ilvl w:val="0"/>
          <w:numId w:val="1"/>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выбор, реализация и проверка защитных мер;</w:t>
      </w:r>
    </w:p>
    <w:p w:rsidR="00822607" w:rsidRPr="00822607" w:rsidRDefault="00822607" w:rsidP="00822607">
      <w:pPr>
        <w:numPr>
          <w:ilvl w:val="0"/>
          <w:numId w:val="1"/>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оценка остаточного риска.</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1" w:name="image.4.11"/>
      <w:bookmarkEnd w:id="1"/>
      <w:r w:rsidRPr="00822607">
        <w:rPr>
          <w:rFonts w:ascii="Tahoma" w:eastAsia="Times New Roman" w:hAnsi="Tahoma" w:cs="Tahoma"/>
          <w:noProof/>
          <w:color w:val="000000"/>
          <w:sz w:val="18"/>
          <w:szCs w:val="18"/>
          <w:lang w:eastAsia="ru-KZ"/>
        </w:rPr>
        <w:drawing>
          <wp:inline distT="0" distB="0" distL="0" distR="0" wp14:anchorId="21EAA776" wp14:editId="25C4E725">
            <wp:extent cx="4118610" cy="2345690"/>
            <wp:effectExtent l="0" t="0" r="0" b="0"/>
            <wp:docPr id="11" name="Рисунок 11" descr="Неопредленнось как основа формирования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еопредленнось как основа формирования рис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8610" cy="2345690"/>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4.11. </w:t>
      </w:r>
      <w:proofErr w:type="spellStart"/>
      <w:r w:rsidRPr="00822607">
        <w:rPr>
          <w:rFonts w:ascii="Tahoma" w:eastAsia="Times New Roman" w:hAnsi="Tahoma" w:cs="Tahoma"/>
          <w:color w:val="000000"/>
          <w:sz w:val="18"/>
          <w:szCs w:val="18"/>
          <w:lang w:eastAsia="ru-KZ"/>
        </w:rPr>
        <w:t>Неопредленнось</w:t>
      </w:r>
      <w:proofErr w:type="spellEnd"/>
      <w:r w:rsidRPr="00822607">
        <w:rPr>
          <w:rFonts w:ascii="Tahoma" w:eastAsia="Times New Roman" w:hAnsi="Tahoma" w:cs="Tahoma"/>
          <w:color w:val="000000"/>
          <w:sz w:val="18"/>
          <w:szCs w:val="18"/>
          <w:lang w:eastAsia="ru-KZ"/>
        </w:rPr>
        <w:t xml:space="preserve"> как основа формирования риска</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Политика ИБ включает разработку стратегии управления рисками разных классов.</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Краткий перечень наиболее распространенных угроз приводился выше (см. п. 17.2). Целесообразно выявлять не только сами угрозы, но и источники их возникновения — это поможет правильно оценить риск и выбрать соответствующие меры нейтрализации. Например, нелегальный вход в систему повышает риск подбора пароля или подключения к сети неавторизованного пользователя или оборудования.</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Очевидно, что для противодействия каждому способу нелегального входа нужны свои механизмы безопасности. После идентификации угрозы необходимо оценить вероятность ее осуществления и размер потенциального ущерба.</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Оценивая тяжесть ущерба, необходимо иметь в виду не только непосредственные расходы на замену оборудования или восстановление информации, но и более отдаленные, в частности подрыв репутации компании, ослабление её позиций на рынке и т. п.</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После проведения идентификации и анализа угроз, их возможных последствий имеется несколько подходов к управлению: оценка риска, уменьшение риска, уклонение от риска, изменение характера риска, принятие риска, выработка корректирующих мероприятий (</w:t>
      </w:r>
      <w:hyperlink r:id="rId7" w:anchor="image.4.12" w:history="1">
        <w:r w:rsidRPr="00822607">
          <w:rPr>
            <w:rFonts w:ascii="Tahoma" w:eastAsia="Times New Roman" w:hAnsi="Tahoma" w:cs="Tahoma"/>
            <w:color w:val="0071A6"/>
            <w:sz w:val="18"/>
            <w:szCs w:val="18"/>
            <w:u w:val="single"/>
            <w:lang w:eastAsia="ru-KZ"/>
          </w:rPr>
          <w:t>рис. 4.12</w:t>
        </w:r>
      </w:hyperlink>
      <w:r w:rsidRPr="00822607">
        <w:rPr>
          <w:rFonts w:ascii="Tahoma" w:eastAsia="Times New Roman" w:hAnsi="Tahoma" w:cs="Tahoma"/>
          <w:color w:val="000000"/>
          <w:sz w:val="18"/>
          <w:szCs w:val="18"/>
          <w:lang w:eastAsia="ru-KZ"/>
        </w:rPr>
        <w:t>).</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2" w:name="image.4.12"/>
      <w:bookmarkEnd w:id="2"/>
      <w:r w:rsidRPr="00822607">
        <w:rPr>
          <w:rFonts w:ascii="Tahoma" w:eastAsia="Times New Roman" w:hAnsi="Tahoma" w:cs="Tahoma"/>
          <w:noProof/>
          <w:color w:val="000000"/>
          <w:sz w:val="18"/>
          <w:szCs w:val="18"/>
          <w:lang w:eastAsia="ru-KZ"/>
        </w:rPr>
        <w:lastRenderedPageBreak/>
        <w:drawing>
          <wp:inline distT="0" distB="0" distL="0" distR="0" wp14:anchorId="42271822" wp14:editId="0AA41ACC">
            <wp:extent cx="3411220" cy="2449195"/>
            <wp:effectExtent l="0" t="0" r="0" b="8255"/>
            <wp:docPr id="12" name="Рисунок 12" descr="Схема управления ри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хема управления риска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220" cy="2449195"/>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4.12. </w:t>
      </w:r>
      <w:r w:rsidRPr="00822607">
        <w:rPr>
          <w:rFonts w:ascii="Tahoma" w:eastAsia="Times New Roman" w:hAnsi="Tahoma" w:cs="Tahoma"/>
          <w:color w:val="000000"/>
          <w:sz w:val="18"/>
          <w:szCs w:val="18"/>
          <w:lang w:eastAsia="ru-KZ"/>
        </w:rPr>
        <w:t>Схема управления рисками</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При идентификации активов и информационных ресурсов — тех ценностей, которые нужно защитить — следует учитывать не только компоненты информационной системы, но и поддерживающую инфраструктуру, персонал, а также нематериальные ценности, в том числе текущий рейтинг и репутацию компании. Тем не менее, одним из главных результатов процесса идентификации активов является получение детальной информационной структуры организации и способов ее использования.</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Выбор анализируемых объектов и степень детальности их рассмотрения — следующий шаг в оценке рисков. Для небольшой организации допустимо рассматривать всю информационную инфраструктуру, для крупной — следует сосредоточиться на наиболее важных (критичных) сервисах. Если важных сервисов много, то выбираются те из них, риски для которых заведомо велики или неизвестны. Если информационной основой организации является локальная сеть, то в число аппаратных объектов следует включить компьютеры, периферийные устройства, внешние интерфейсы, кабельное хозяйство и активное сетевое оборудование.</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К программным объектам следует отнести операционные системы (сетевая, серверные и клиентские), прикладное программное обеспечение, инструментальные средства, программы управления сетью и отдельными подсистемами. Важно зафиксировать в каких узлах сети хранится программное обеспечение, где и как используется. Третьим видом информационных объектов являются данные, которые хранятся, обрабатываются и передаются по сети. Следует классифицировать данные по типам и степени конфиденциальности, выявить места их хранения и обработки, а также способы доступа к ним. Все это важно для оценки рисков и последствий нарушений информационной безопасности.</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Оценка рисков производится на основе накопленных исходных данных и оценки степени определенности угроз. Вполне допустимо применить такой простой метод, как умножение вероятности осуществления угрозы на величину предполагаемого ущерба. Если для вероятности и ущерба использовать трехбалльную шкалу, то возможных произведений будет шесть: 1, 2, 3, 4, 6 и 9. Первые два результата можно отнести к низкому риску, третий и четвертый — к среднему, два последних — к высокому. По этой шкале можно оценивать приемлемость рисков.</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Если какие-либо риски оказались недопустимо высокими, необходимо реализовать дополнительные защитные меры. Для ликвидации или уменьшения слабости, сделавшей опасную угрозу реальной, можно применять несколько механизмов безопасности, отличающихся эффективностью и невысокой стоимостью. Например, если велика вероятность нелегального входа в систему, можно ввести длинные пароли, задействовать программу генерации паролей или закупить интегрированную систему аутентификации на основе интеллектуальных карт. Если имеется вероятность умышленного повреждения серверов различного назначения, что грозит серьезными последствиями, можно ограничить физический доступ персонала в серверные помещения и усилить их охрану.</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Технология оценки рисков должна сочетать формальные метрики и формирование реальных количественных показателей для оценки. С их помощью необходимо ответить на два вопроса: приемлемы ли существующие риски, и если нет, то какие защитные средства экономически выгодно использовать.</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3" w:name="image.4.13"/>
      <w:bookmarkEnd w:id="3"/>
      <w:r w:rsidRPr="00822607">
        <w:rPr>
          <w:rFonts w:ascii="Tahoma" w:eastAsia="Times New Roman" w:hAnsi="Tahoma" w:cs="Tahoma"/>
          <w:noProof/>
          <w:color w:val="000000"/>
          <w:sz w:val="18"/>
          <w:szCs w:val="18"/>
          <w:lang w:eastAsia="ru-KZ"/>
        </w:rPr>
        <w:lastRenderedPageBreak/>
        <w:drawing>
          <wp:inline distT="0" distB="0" distL="0" distR="0" wp14:anchorId="70D5A804" wp14:editId="7DDE0061">
            <wp:extent cx="4095115" cy="2520315"/>
            <wp:effectExtent l="0" t="0" r="635" b="0"/>
            <wp:docPr id="13" name="Рисунок 13" descr="Схема оценки и снижения рис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 оценки и снижения рис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115" cy="2520315"/>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4.13. </w:t>
      </w:r>
      <w:r w:rsidRPr="00822607">
        <w:rPr>
          <w:rFonts w:ascii="Tahoma" w:eastAsia="Times New Roman" w:hAnsi="Tahoma" w:cs="Tahoma"/>
          <w:color w:val="000000"/>
          <w:sz w:val="18"/>
          <w:szCs w:val="18"/>
          <w:lang w:eastAsia="ru-KZ"/>
        </w:rPr>
        <w:t>Схема оценки и снижения рисков</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 xml:space="preserve">Методология снижения рисков. Многие риски можно существенно уменьшить путем использования простых и недорогих контрмер. Например, грамотное (регламентированное) управление доступом снижает риск несанкционированного вторжения. От некоторых классов рисков можно уклониться — вынесение </w:t>
      </w:r>
      <w:proofErr w:type="spellStart"/>
      <w:r w:rsidRPr="00822607">
        <w:rPr>
          <w:rFonts w:ascii="Tahoma" w:eastAsia="Times New Roman" w:hAnsi="Tahoma" w:cs="Tahoma"/>
          <w:color w:val="000000"/>
          <w:sz w:val="18"/>
          <w:szCs w:val="18"/>
          <w:lang w:eastAsia="ru-KZ"/>
        </w:rPr>
        <w:t>Web</w:t>
      </w:r>
      <w:proofErr w:type="spellEnd"/>
      <w:r w:rsidRPr="00822607">
        <w:rPr>
          <w:rFonts w:ascii="Tahoma" w:eastAsia="Times New Roman" w:hAnsi="Tahoma" w:cs="Tahoma"/>
          <w:color w:val="000000"/>
          <w:sz w:val="18"/>
          <w:szCs w:val="18"/>
          <w:lang w:eastAsia="ru-KZ"/>
        </w:rPr>
        <w:t xml:space="preserve">-сервера организации за пределы локальной сети позволяет избежать риска несанкционированного доступа в локальную сеть со стороны </w:t>
      </w:r>
      <w:proofErr w:type="spellStart"/>
      <w:r w:rsidRPr="00822607">
        <w:rPr>
          <w:rFonts w:ascii="Tahoma" w:eastAsia="Times New Roman" w:hAnsi="Tahoma" w:cs="Tahoma"/>
          <w:color w:val="000000"/>
          <w:sz w:val="18"/>
          <w:szCs w:val="18"/>
          <w:lang w:eastAsia="ru-KZ"/>
        </w:rPr>
        <w:t>Web</w:t>
      </w:r>
      <w:proofErr w:type="spellEnd"/>
      <w:r w:rsidRPr="00822607">
        <w:rPr>
          <w:rFonts w:ascii="Tahoma" w:eastAsia="Times New Roman" w:hAnsi="Tahoma" w:cs="Tahoma"/>
          <w:color w:val="000000"/>
          <w:sz w:val="18"/>
          <w:szCs w:val="18"/>
          <w:lang w:eastAsia="ru-KZ"/>
        </w:rPr>
        <w:t>-клиентов. Некоторые риски не могут быть уменьшены до малой величины, однако после реализации стандартного набора контрмер их можно принять, постоянно контролируя остаточную величину риска (</w:t>
      </w:r>
      <w:hyperlink r:id="rId10" w:anchor="image.4.13" w:history="1">
        <w:r w:rsidRPr="00822607">
          <w:rPr>
            <w:rFonts w:ascii="Tahoma" w:eastAsia="Times New Roman" w:hAnsi="Tahoma" w:cs="Tahoma"/>
            <w:color w:val="0071A6"/>
            <w:sz w:val="18"/>
            <w:szCs w:val="18"/>
            <w:u w:val="single"/>
            <w:lang w:eastAsia="ru-KZ"/>
          </w:rPr>
          <w:t>рис. 4.13</w:t>
        </w:r>
      </w:hyperlink>
      <w:r w:rsidRPr="00822607">
        <w:rPr>
          <w:rFonts w:ascii="Tahoma" w:eastAsia="Times New Roman" w:hAnsi="Tahoma" w:cs="Tahoma"/>
          <w:color w:val="000000"/>
          <w:sz w:val="18"/>
          <w:szCs w:val="18"/>
          <w:lang w:eastAsia="ru-KZ"/>
        </w:rPr>
        <w:t>).</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Оценка стоимости защитных мер должна учитывать не только прямые расходы на закупку оборудования и/или программного обеспечения, но и расходы на внедрение новинки, обучение и переподготовку персонала. Эту стоимость можно выразить в некоторой шкале и затем сопоставить ее с разностью между вычисленным и приемлемым риском. Если по этому показателю средство защиты оказывается экономически выгодным, его можно принять к дальнейшему рассмотрению.</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4" w:name="image.4.14"/>
      <w:bookmarkEnd w:id="4"/>
      <w:r w:rsidRPr="00822607">
        <w:rPr>
          <w:rFonts w:ascii="Tahoma" w:eastAsia="Times New Roman" w:hAnsi="Tahoma" w:cs="Tahoma"/>
          <w:noProof/>
          <w:color w:val="000000"/>
          <w:sz w:val="18"/>
          <w:szCs w:val="18"/>
          <w:lang w:eastAsia="ru-KZ"/>
        </w:rPr>
        <w:drawing>
          <wp:inline distT="0" distB="0" distL="0" distR="0" wp14:anchorId="4F9B8F39" wp14:editId="33DA81C9">
            <wp:extent cx="2989580" cy="2989580"/>
            <wp:effectExtent l="0" t="0" r="1270" b="1270"/>
            <wp:docPr id="14" name="Рисунок 14" descr="Итерационный процесс управления ри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терационный процесс управления рискам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580" cy="2989580"/>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4.14. </w:t>
      </w:r>
      <w:r w:rsidRPr="00822607">
        <w:rPr>
          <w:rFonts w:ascii="Tahoma" w:eastAsia="Times New Roman" w:hAnsi="Tahoma" w:cs="Tahoma"/>
          <w:color w:val="000000"/>
          <w:sz w:val="18"/>
          <w:szCs w:val="18"/>
          <w:lang w:eastAsia="ru-KZ"/>
        </w:rPr>
        <w:t>Итерационный процесс управления рисками</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Контроль остаточных рисков в обязательном порядке включается в текущий контроль системы ИБ. Когда намеченные меры приняты, необходимо проверить их действенность — убедиться, что остаточные риски стали приемлемыми. В случае систематического повышения остаточных рисков необходимо проанализировать допущенные ошибки и немедленно принять корректирующие меры.</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lastRenderedPageBreak/>
        <w:t>Управление рисками является многоступенчатым итерационным процессом (</w:t>
      </w:r>
      <w:hyperlink r:id="rId12" w:anchor="image.4.14" w:history="1">
        <w:r w:rsidRPr="00822607">
          <w:rPr>
            <w:rFonts w:ascii="Tahoma" w:eastAsia="Times New Roman" w:hAnsi="Tahoma" w:cs="Tahoma"/>
            <w:color w:val="0071A6"/>
            <w:sz w:val="18"/>
            <w:szCs w:val="18"/>
            <w:u w:val="single"/>
            <w:lang w:eastAsia="ru-KZ"/>
          </w:rPr>
          <w:t>рис. 4.14</w:t>
        </w:r>
      </w:hyperlink>
      <w:r w:rsidRPr="00822607">
        <w:rPr>
          <w:rFonts w:ascii="Tahoma" w:eastAsia="Times New Roman" w:hAnsi="Tahoma" w:cs="Tahoma"/>
          <w:color w:val="000000"/>
          <w:sz w:val="18"/>
          <w:szCs w:val="18"/>
          <w:lang w:eastAsia="ru-KZ"/>
        </w:rPr>
        <w:t>).</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Практически все его этапы связаны между собой, и по завершении почти любого из них может выявиться необходимость возврата к предыдущему. Так, при идентификации активов может возникнуть понимание, что выбранные границы анализа следует расширить, а степень детализации — увеличить. Особенно труден первичный анализ, когда многократные возвраты к началу неизбежны. Управление рисками — типичная оптимизационная задача, принципиальная трудность состоит в её грамотной постановке на уровне высшего менеджмента, сочетании оптимальных методик и описания исходных данных (</w:t>
      </w:r>
      <w:hyperlink r:id="rId13" w:anchor="image.4.15" w:history="1">
        <w:r w:rsidRPr="00822607">
          <w:rPr>
            <w:rFonts w:ascii="Tahoma" w:eastAsia="Times New Roman" w:hAnsi="Tahoma" w:cs="Tahoma"/>
            <w:color w:val="0071A6"/>
            <w:sz w:val="18"/>
            <w:szCs w:val="18"/>
            <w:u w:val="single"/>
            <w:lang w:eastAsia="ru-KZ"/>
          </w:rPr>
          <w:t>рис. 4.15</w:t>
        </w:r>
      </w:hyperlink>
      <w:r w:rsidRPr="00822607">
        <w:rPr>
          <w:rFonts w:ascii="Tahoma" w:eastAsia="Times New Roman" w:hAnsi="Tahoma" w:cs="Tahoma"/>
          <w:color w:val="000000"/>
          <w:sz w:val="18"/>
          <w:szCs w:val="18"/>
          <w:lang w:eastAsia="ru-KZ"/>
        </w:rPr>
        <w:t>).</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5" w:name="image.4.15"/>
      <w:bookmarkEnd w:id="5"/>
      <w:r w:rsidRPr="00822607">
        <w:rPr>
          <w:rFonts w:ascii="Tahoma" w:eastAsia="Times New Roman" w:hAnsi="Tahoma" w:cs="Tahoma"/>
          <w:noProof/>
          <w:color w:val="000000"/>
          <w:sz w:val="18"/>
          <w:szCs w:val="18"/>
          <w:lang w:eastAsia="ru-KZ"/>
        </w:rPr>
        <w:drawing>
          <wp:inline distT="0" distB="0" distL="0" distR="0" wp14:anchorId="1DD25B98" wp14:editId="2213CDE6">
            <wp:extent cx="4047490" cy="2679700"/>
            <wp:effectExtent l="0" t="0" r="0" b="6350"/>
            <wp:docPr id="15" name="Рисунок 15" descr="Формирование деятельности по управлению ИТ-ри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ирование деятельности по управлению ИТ-рискам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7490" cy="2679700"/>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4.15. </w:t>
      </w:r>
      <w:r w:rsidRPr="00822607">
        <w:rPr>
          <w:rFonts w:ascii="Tahoma" w:eastAsia="Times New Roman" w:hAnsi="Tahoma" w:cs="Tahoma"/>
          <w:color w:val="000000"/>
          <w:sz w:val="18"/>
          <w:szCs w:val="18"/>
          <w:lang w:eastAsia="ru-KZ"/>
        </w:rPr>
        <w:t>Формирование деятельности по управлению ИТ-рисками</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Методологии "Оценка рисков" (</w:t>
      </w:r>
      <w:proofErr w:type="spellStart"/>
      <w:r w:rsidRPr="00822607">
        <w:rPr>
          <w:rFonts w:ascii="Tahoma" w:eastAsia="Times New Roman" w:hAnsi="Tahoma" w:cs="Tahoma"/>
          <w:color w:val="000000"/>
          <w:sz w:val="18"/>
          <w:szCs w:val="18"/>
          <w:lang w:eastAsia="ru-KZ"/>
        </w:rPr>
        <w:t>Risk</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Assessment</w:t>
      </w:r>
      <w:proofErr w:type="spellEnd"/>
      <w:r w:rsidRPr="00822607">
        <w:rPr>
          <w:rFonts w:ascii="Tahoma" w:eastAsia="Times New Roman" w:hAnsi="Tahoma" w:cs="Tahoma"/>
          <w:color w:val="000000"/>
          <w:sz w:val="18"/>
          <w:szCs w:val="18"/>
          <w:lang w:eastAsia="ru-KZ"/>
        </w:rPr>
        <w:t>) и "Управление рисками" (</w:t>
      </w:r>
      <w:proofErr w:type="spellStart"/>
      <w:r w:rsidRPr="00822607">
        <w:rPr>
          <w:rFonts w:ascii="Tahoma" w:eastAsia="Times New Roman" w:hAnsi="Tahoma" w:cs="Tahoma"/>
          <w:color w:val="000000"/>
          <w:sz w:val="18"/>
          <w:szCs w:val="18"/>
          <w:lang w:eastAsia="ru-KZ"/>
        </w:rPr>
        <w:t>Risk</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Management</w:t>
      </w:r>
      <w:proofErr w:type="spellEnd"/>
      <w:r w:rsidRPr="00822607">
        <w:rPr>
          <w:rFonts w:ascii="Tahoma" w:eastAsia="Times New Roman" w:hAnsi="Tahoma" w:cs="Tahoma"/>
          <w:color w:val="000000"/>
          <w:sz w:val="18"/>
          <w:szCs w:val="18"/>
          <w:lang w:eastAsia="ru-KZ"/>
        </w:rPr>
        <w:t>) стали неотъемлемой составляющей деятельности в области обеспечения непрерывности бизнеса (</w:t>
      </w:r>
      <w:proofErr w:type="spellStart"/>
      <w:r w:rsidRPr="00822607">
        <w:rPr>
          <w:rFonts w:ascii="Tahoma" w:eastAsia="Times New Roman" w:hAnsi="Tahoma" w:cs="Tahoma"/>
          <w:color w:val="000000"/>
          <w:sz w:val="18"/>
          <w:szCs w:val="18"/>
          <w:lang w:eastAsia="ru-KZ"/>
        </w:rPr>
        <w:t>Business</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Continuity</w:t>
      </w:r>
      <w:proofErr w:type="spellEnd"/>
      <w:r w:rsidRPr="00822607">
        <w:rPr>
          <w:rFonts w:ascii="Tahoma" w:eastAsia="Times New Roman" w:hAnsi="Tahoma" w:cs="Tahoma"/>
          <w:color w:val="000000"/>
          <w:sz w:val="18"/>
          <w:szCs w:val="18"/>
          <w:lang w:eastAsia="ru-KZ"/>
        </w:rPr>
        <w:t>) и информационной безопасности (</w:t>
      </w:r>
      <w:proofErr w:type="spellStart"/>
      <w:r w:rsidRPr="00822607">
        <w:rPr>
          <w:rFonts w:ascii="Tahoma" w:eastAsia="Times New Roman" w:hAnsi="Tahoma" w:cs="Tahoma"/>
          <w:color w:val="000000"/>
          <w:sz w:val="18"/>
          <w:szCs w:val="18"/>
          <w:lang w:eastAsia="ru-KZ"/>
        </w:rPr>
        <w:t>Information</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Security</w:t>
      </w:r>
      <w:proofErr w:type="spellEnd"/>
      <w:r w:rsidRPr="00822607">
        <w:rPr>
          <w:rFonts w:ascii="Tahoma" w:eastAsia="Times New Roman" w:hAnsi="Tahoma" w:cs="Tahoma"/>
          <w:color w:val="000000"/>
          <w:sz w:val="18"/>
          <w:szCs w:val="18"/>
          <w:lang w:eastAsia="ru-KZ"/>
        </w:rPr>
        <w:t>). Программа реализации ИБ и наборы политик базируются на совокупности системных действий и практических шагов (</w:t>
      </w:r>
      <w:hyperlink r:id="rId15" w:anchor="image.4.16" w:history="1">
        <w:r w:rsidRPr="00822607">
          <w:rPr>
            <w:rFonts w:ascii="Tahoma" w:eastAsia="Times New Roman" w:hAnsi="Tahoma" w:cs="Tahoma"/>
            <w:color w:val="0071A6"/>
            <w:sz w:val="18"/>
            <w:szCs w:val="18"/>
            <w:u w:val="single"/>
            <w:lang w:eastAsia="ru-KZ"/>
          </w:rPr>
          <w:t>рис. 4.16</w:t>
        </w:r>
      </w:hyperlink>
      <w:r w:rsidRPr="00822607">
        <w:rPr>
          <w:rFonts w:ascii="Tahoma" w:eastAsia="Times New Roman" w:hAnsi="Tahoma" w:cs="Tahoma"/>
          <w:color w:val="000000"/>
          <w:sz w:val="18"/>
          <w:szCs w:val="18"/>
          <w:lang w:eastAsia="ru-KZ"/>
        </w:rPr>
        <w:t>-</w:t>
      </w:r>
      <w:hyperlink r:id="rId16" w:anchor="image.4.19" w:history="1">
        <w:r w:rsidRPr="00822607">
          <w:rPr>
            <w:rFonts w:ascii="Tahoma" w:eastAsia="Times New Roman" w:hAnsi="Tahoma" w:cs="Tahoma"/>
            <w:color w:val="0071A6"/>
            <w:sz w:val="18"/>
            <w:szCs w:val="18"/>
            <w:u w:val="single"/>
            <w:lang w:eastAsia="ru-KZ"/>
          </w:rPr>
          <w:t>рис. 4.19</w:t>
        </w:r>
      </w:hyperlink>
      <w:r w:rsidRPr="00822607">
        <w:rPr>
          <w:rFonts w:ascii="Tahoma" w:eastAsia="Times New Roman" w:hAnsi="Tahoma" w:cs="Tahoma"/>
          <w:color w:val="000000"/>
          <w:sz w:val="18"/>
          <w:szCs w:val="18"/>
          <w:lang w:eastAsia="ru-KZ"/>
        </w:rPr>
        <w:t>).</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6" w:name="image.4.16"/>
      <w:bookmarkEnd w:id="6"/>
      <w:r w:rsidRPr="00822607">
        <w:rPr>
          <w:rFonts w:ascii="Tahoma" w:eastAsia="Times New Roman" w:hAnsi="Tahoma" w:cs="Tahoma"/>
          <w:noProof/>
          <w:color w:val="000000"/>
          <w:sz w:val="18"/>
          <w:szCs w:val="18"/>
          <w:lang w:eastAsia="ru-KZ"/>
        </w:rPr>
        <w:drawing>
          <wp:inline distT="0" distB="0" distL="0" distR="0" wp14:anchorId="2A10A08D" wp14:editId="643C7C53">
            <wp:extent cx="3633470" cy="2552065"/>
            <wp:effectExtent l="0" t="0" r="5080" b="635"/>
            <wp:docPr id="16" name="Рисунок 16" descr="Совокупности системных действий и практических шагов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вокупности системных действий и практических шагов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3470" cy="2552065"/>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4.16. </w:t>
      </w:r>
      <w:r w:rsidRPr="00822607">
        <w:rPr>
          <w:rFonts w:ascii="Tahoma" w:eastAsia="Times New Roman" w:hAnsi="Tahoma" w:cs="Tahoma"/>
          <w:color w:val="000000"/>
          <w:sz w:val="18"/>
          <w:szCs w:val="18"/>
          <w:lang w:eastAsia="ru-KZ"/>
        </w:rPr>
        <w:t>Совокупности системных действий и практических шагов (1)</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7" w:name="image.4.17"/>
      <w:bookmarkEnd w:id="7"/>
      <w:r w:rsidRPr="00822607">
        <w:rPr>
          <w:rFonts w:ascii="Tahoma" w:eastAsia="Times New Roman" w:hAnsi="Tahoma" w:cs="Tahoma"/>
          <w:noProof/>
          <w:color w:val="000000"/>
          <w:sz w:val="18"/>
          <w:szCs w:val="18"/>
          <w:lang w:eastAsia="ru-KZ"/>
        </w:rPr>
        <w:lastRenderedPageBreak/>
        <w:drawing>
          <wp:inline distT="0" distB="0" distL="0" distR="0" wp14:anchorId="5AEBFBE4" wp14:editId="6FB23B4E">
            <wp:extent cx="4095115" cy="2115185"/>
            <wp:effectExtent l="0" t="0" r="635" b="0"/>
            <wp:docPr id="17" name="Рисунок 17" descr="Совокупности системных действий и практических шагов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вокупности системных действий и практических шагов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115" cy="2115185"/>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4.17. </w:t>
      </w:r>
      <w:r w:rsidRPr="00822607">
        <w:rPr>
          <w:rFonts w:ascii="Tahoma" w:eastAsia="Times New Roman" w:hAnsi="Tahoma" w:cs="Tahoma"/>
          <w:color w:val="000000"/>
          <w:sz w:val="18"/>
          <w:szCs w:val="18"/>
          <w:lang w:eastAsia="ru-KZ"/>
        </w:rPr>
        <w:t>Совокупности системных действий и практических шагов (2)</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8" w:name="image.4.18"/>
      <w:bookmarkEnd w:id="8"/>
      <w:r w:rsidRPr="00822607">
        <w:rPr>
          <w:rFonts w:ascii="Tahoma" w:eastAsia="Times New Roman" w:hAnsi="Tahoma" w:cs="Tahoma"/>
          <w:noProof/>
          <w:color w:val="000000"/>
          <w:sz w:val="18"/>
          <w:szCs w:val="18"/>
          <w:lang w:eastAsia="ru-KZ"/>
        </w:rPr>
        <w:drawing>
          <wp:inline distT="0" distB="0" distL="0" distR="0" wp14:anchorId="2A2B3C49" wp14:editId="105D7AA0">
            <wp:extent cx="4095115" cy="2218690"/>
            <wp:effectExtent l="0" t="0" r="635" b="0"/>
            <wp:docPr id="18" name="Рисунок 18" descr="Совокупности системных действий и практических шагов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вокупности системных действий и практических шагов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115" cy="2218690"/>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4.18. </w:t>
      </w:r>
      <w:r w:rsidRPr="00822607">
        <w:rPr>
          <w:rFonts w:ascii="Tahoma" w:eastAsia="Times New Roman" w:hAnsi="Tahoma" w:cs="Tahoma"/>
          <w:color w:val="000000"/>
          <w:sz w:val="18"/>
          <w:szCs w:val="18"/>
          <w:lang w:eastAsia="ru-KZ"/>
        </w:rPr>
        <w:t>Совокупности системных действий и практических шагов (3)</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9" w:name="image.4.19"/>
      <w:bookmarkEnd w:id="9"/>
      <w:r w:rsidRPr="00822607">
        <w:rPr>
          <w:rFonts w:ascii="Tahoma" w:eastAsia="Times New Roman" w:hAnsi="Tahoma" w:cs="Tahoma"/>
          <w:noProof/>
          <w:color w:val="000000"/>
          <w:sz w:val="18"/>
          <w:szCs w:val="18"/>
          <w:lang w:eastAsia="ru-KZ"/>
        </w:rPr>
        <w:drawing>
          <wp:inline distT="0" distB="0" distL="0" distR="0" wp14:anchorId="57B489EB" wp14:editId="5B1FB1D3">
            <wp:extent cx="4095115" cy="2449195"/>
            <wp:effectExtent l="0" t="0" r="635" b="8255"/>
            <wp:docPr id="19" name="Рисунок 19" descr="Совокупности системных действий и практических шагов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вокупности системных действий и практических шагов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115" cy="2449195"/>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4.19. </w:t>
      </w:r>
      <w:r w:rsidRPr="00822607">
        <w:rPr>
          <w:rFonts w:ascii="Tahoma" w:eastAsia="Times New Roman" w:hAnsi="Tahoma" w:cs="Tahoma"/>
          <w:color w:val="000000"/>
          <w:sz w:val="18"/>
          <w:szCs w:val="18"/>
          <w:lang w:eastAsia="ru-KZ"/>
        </w:rPr>
        <w:t>Совокупности системных действий и практических шагов (4)</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Подготовлено и активно используются более десятка различных международных стандартов и спецификаций, детально регламентирующих процедуры управления информационными рисками: ISO 15408: 1999 ("</w:t>
      </w:r>
      <w:proofErr w:type="spellStart"/>
      <w:r w:rsidRPr="00822607">
        <w:rPr>
          <w:rFonts w:ascii="Tahoma" w:eastAsia="Times New Roman" w:hAnsi="Tahoma" w:cs="Tahoma"/>
          <w:color w:val="000000"/>
          <w:sz w:val="18"/>
          <w:szCs w:val="18"/>
          <w:lang w:eastAsia="ru-KZ"/>
        </w:rPr>
        <w:t>Common</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Criteria</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for</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Information</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Technology</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Security</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Evaluation</w:t>
      </w:r>
      <w:proofErr w:type="spellEnd"/>
      <w:r w:rsidRPr="00822607">
        <w:rPr>
          <w:rFonts w:ascii="Tahoma" w:eastAsia="Times New Roman" w:hAnsi="Tahoma" w:cs="Tahoma"/>
          <w:color w:val="000000"/>
          <w:sz w:val="18"/>
          <w:szCs w:val="18"/>
          <w:lang w:eastAsia="ru-KZ"/>
        </w:rPr>
        <w:t>"), ISO 17799:2002 ("</w:t>
      </w:r>
      <w:proofErr w:type="spellStart"/>
      <w:r w:rsidRPr="00822607">
        <w:rPr>
          <w:rFonts w:ascii="Tahoma" w:eastAsia="Times New Roman" w:hAnsi="Tahoma" w:cs="Tahoma"/>
          <w:color w:val="000000"/>
          <w:sz w:val="18"/>
          <w:szCs w:val="18"/>
          <w:lang w:eastAsia="ru-KZ"/>
        </w:rPr>
        <w:t>Code</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of</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Practice</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for</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Information</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Security</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Management</w:t>
      </w:r>
      <w:proofErr w:type="spellEnd"/>
      <w:r w:rsidRPr="00822607">
        <w:rPr>
          <w:rFonts w:ascii="Tahoma" w:eastAsia="Times New Roman" w:hAnsi="Tahoma" w:cs="Tahoma"/>
          <w:color w:val="000000"/>
          <w:sz w:val="18"/>
          <w:szCs w:val="18"/>
          <w:lang w:eastAsia="ru-KZ"/>
        </w:rPr>
        <w:t>"), NIST 80030, SAS 78/94, COBIT.</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 xml:space="preserve">Методика и инструментальное средство RA </w:t>
      </w:r>
      <w:proofErr w:type="spellStart"/>
      <w:r w:rsidRPr="00822607">
        <w:rPr>
          <w:rFonts w:ascii="Tahoma" w:eastAsia="Times New Roman" w:hAnsi="Tahoma" w:cs="Tahoma"/>
          <w:color w:val="000000"/>
          <w:sz w:val="18"/>
          <w:szCs w:val="18"/>
          <w:lang w:eastAsia="ru-KZ"/>
        </w:rPr>
        <w:t>Software</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Tool</w:t>
      </w:r>
      <w:proofErr w:type="spellEnd"/>
      <w:r w:rsidRPr="00822607">
        <w:rPr>
          <w:rFonts w:ascii="Tahoma" w:eastAsia="Times New Roman" w:hAnsi="Tahoma" w:cs="Tahoma"/>
          <w:color w:val="000000"/>
          <w:sz w:val="18"/>
          <w:szCs w:val="18"/>
          <w:lang w:eastAsia="ru-KZ"/>
        </w:rPr>
        <w:t xml:space="preserve"> основаны на требованиях международных стандартов ISO 17999 и ISO 13335 (части 3 и 4), а также на требованиях руководств Британского национального института стандартов (BSI) — PD 3002 ("Руководство по оценке и управлению рисками"), PD </w:t>
      </w:r>
      <w:r w:rsidRPr="00822607">
        <w:rPr>
          <w:rFonts w:ascii="Tahoma" w:eastAsia="Times New Roman" w:hAnsi="Tahoma" w:cs="Tahoma"/>
          <w:color w:val="000000"/>
          <w:sz w:val="18"/>
          <w:szCs w:val="18"/>
          <w:lang w:eastAsia="ru-KZ"/>
        </w:rPr>
        <w:lastRenderedPageBreak/>
        <w:t>3003 ("Оценка готовности компании к аудиту в соответствии с BS 7799"), PD 3005 ("Руководство по выбору системы защиты").</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На практике такие методики управления рисками позволяют:</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создавать модели информационных активов компании с точки зрения безопасности;</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классифицировать и оценивать ценности активов;</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составлять списки наиболее значимых угроз и уязвимостей безопасности;</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ранжировать угрозы и уязвимости безопасности;</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оценивать и отрабатывать риски;</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разрабатывать корректирующие меры;</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обосновывать средства и меры контроля рисков;</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оценивать эффективность/стоимость различных вариантов защиты;</w:t>
      </w:r>
    </w:p>
    <w:p w:rsidR="00822607" w:rsidRPr="00822607" w:rsidRDefault="00822607" w:rsidP="00822607">
      <w:pPr>
        <w:numPr>
          <w:ilvl w:val="0"/>
          <w:numId w:val="2"/>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формализовать и автоматизировать процедуры оценивания и управления рисками.</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Отработка рисков включает в себя ряд важных этапов, которые в обязательном порядке включаются в плановую работу по обеспечению информационной безопасности (</w:t>
      </w:r>
      <w:hyperlink r:id="rId21" w:anchor="image.4.20" w:history="1">
        <w:r w:rsidRPr="00822607">
          <w:rPr>
            <w:rFonts w:ascii="Tahoma" w:eastAsia="Times New Roman" w:hAnsi="Tahoma" w:cs="Tahoma"/>
            <w:color w:val="0071A6"/>
            <w:sz w:val="18"/>
            <w:szCs w:val="18"/>
            <w:u w:val="single"/>
            <w:lang w:eastAsia="ru-KZ"/>
          </w:rPr>
          <w:t>рис. 4.20</w:t>
        </w:r>
      </w:hyperlink>
      <w:r w:rsidRPr="00822607">
        <w:rPr>
          <w:rFonts w:ascii="Tahoma" w:eastAsia="Times New Roman" w:hAnsi="Tahoma" w:cs="Tahoma"/>
          <w:color w:val="000000"/>
          <w:sz w:val="18"/>
          <w:szCs w:val="18"/>
          <w:lang w:eastAsia="ru-KZ"/>
        </w:rPr>
        <w:t>).</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Применение соответствующих программных средств позволяет уменьшить трудоемкость проведения анализа рисков и выбора контрмер. В настоящее время разработано более десятка программных продуктов для анализа и управления рисками базового уровня безопасности. Примером достаточно простого средства является программный пакет BSS (</w:t>
      </w:r>
      <w:proofErr w:type="spellStart"/>
      <w:r w:rsidRPr="00822607">
        <w:rPr>
          <w:rFonts w:ascii="Tahoma" w:eastAsia="Times New Roman" w:hAnsi="Tahoma" w:cs="Tahoma"/>
          <w:color w:val="000000"/>
          <w:sz w:val="18"/>
          <w:szCs w:val="18"/>
          <w:lang w:eastAsia="ru-KZ"/>
        </w:rPr>
        <w:t>Baseline</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Security</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Survey</w:t>
      </w:r>
      <w:proofErr w:type="spellEnd"/>
      <w:r w:rsidRPr="00822607">
        <w:rPr>
          <w:rFonts w:ascii="Tahoma" w:eastAsia="Times New Roman" w:hAnsi="Tahoma" w:cs="Tahoma"/>
          <w:color w:val="000000"/>
          <w:sz w:val="18"/>
          <w:szCs w:val="18"/>
          <w:lang w:eastAsia="ru-KZ"/>
        </w:rPr>
        <w:t>, UK).</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 xml:space="preserve">Программные продукты более высокого класса: CRAMM (компания </w:t>
      </w:r>
      <w:proofErr w:type="spellStart"/>
      <w:r w:rsidRPr="00822607">
        <w:rPr>
          <w:rFonts w:ascii="Tahoma" w:eastAsia="Times New Roman" w:hAnsi="Tahoma" w:cs="Tahoma"/>
          <w:color w:val="000000"/>
          <w:sz w:val="18"/>
          <w:szCs w:val="18"/>
          <w:lang w:eastAsia="ru-KZ"/>
        </w:rPr>
        <w:t>Insight</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Consulting</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Limited</w:t>
      </w:r>
      <w:proofErr w:type="spellEnd"/>
      <w:r w:rsidRPr="00822607">
        <w:rPr>
          <w:rFonts w:ascii="Tahoma" w:eastAsia="Times New Roman" w:hAnsi="Tahoma" w:cs="Tahoma"/>
          <w:color w:val="000000"/>
          <w:sz w:val="18"/>
          <w:szCs w:val="18"/>
          <w:lang w:eastAsia="ru-KZ"/>
        </w:rPr>
        <w:t xml:space="preserve">, UK), </w:t>
      </w:r>
      <w:proofErr w:type="spellStart"/>
      <w:r w:rsidRPr="00822607">
        <w:rPr>
          <w:rFonts w:ascii="Tahoma" w:eastAsia="Times New Roman" w:hAnsi="Tahoma" w:cs="Tahoma"/>
          <w:color w:val="000000"/>
          <w:sz w:val="18"/>
          <w:szCs w:val="18"/>
          <w:lang w:eastAsia="ru-KZ"/>
        </w:rPr>
        <w:t>Risk</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Watch</w:t>
      </w:r>
      <w:proofErr w:type="spellEnd"/>
      <w:r w:rsidRPr="00822607">
        <w:rPr>
          <w:rFonts w:ascii="Tahoma" w:eastAsia="Times New Roman" w:hAnsi="Tahoma" w:cs="Tahoma"/>
          <w:color w:val="000000"/>
          <w:sz w:val="18"/>
          <w:szCs w:val="18"/>
          <w:lang w:eastAsia="ru-KZ"/>
        </w:rPr>
        <w:t>, COBRA (</w:t>
      </w:r>
      <w:proofErr w:type="spellStart"/>
      <w:r w:rsidRPr="00822607">
        <w:rPr>
          <w:rFonts w:ascii="Tahoma" w:eastAsia="Times New Roman" w:hAnsi="Tahoma" w:cs="Tahoma"/>
          <w:color w:val="000000"/>
          <w:sz w:val="18"/>
          <w:szCs w:val="18"/>
          <w:lang w:eastAsia="ru-KZ"/>
        </w:rPr>
        <w:t>Consultative</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Objective</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and</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Bi-Functional</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Risk</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Analysis</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Buddy</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System</w:t>
      </w:r>
      <w:proofErr w:type="spellEnd"/>
      <w:r w:rsidRPr="00822607">
        <w:rPr>
          <w:rFonts w:ascii="Tahoma" w:eastAsia="Times New Roman" w:hAnsi="Tahoma" w:cs="Tahoma"/>
          <w:color w:val="000000"/>
          <w:sz w:val="18"/>
          <w:szCs w:val="18"/>
          <w:lang w:eastAsia="ru-KZ"/>
        </w:rPr>
        <w:t>. Наиболее популярный из них — CRAMM (</w:t>
      </w:r>
      <w:proofErr w:type="spellStart"/>
      <w:r w:rsidRPr="00822607">
        <w:rPr>
          <w:rFonts w:ascii="Tahoma" w:eastAsia="Times New Roman" w:hAnsi="Tahoma" w:cs="Tahoma"/>
          <w:color w:val="000000"/>
          <w:sz w:val="18"/>
          <w:szCs w:val="18"/>
          <w:lang w:eastAsia="ru-KZ"/>
        </w:rPr>
        <w:t>Complex</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Risk</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Analysis</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and</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Management</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Method</w:t>
      </w:r>
      <w:proofErr w:type="spellEnd"/>
      <w:r w:rsidRPr="00822607">
        <w:rPr>
          <w:rFonts w:ascii="Tahoma" w:eastAsia="Times New Roman" w:hAnsi="Tahoma" w:cs="Tahoma"/>
          <w:color w:val="000000"/>
          <w:sz w:val="18"/>
          <w:szCs w:val="18"/>
          <w:lang w:eastAsia="ru-KZ"/>
        </w:rPr>
        <w:t>), реализующий метод анализа и контроля рисков. Существенным достоинством метода является возможность проведения детального исследования в сжатые сроки с полным документированием результатов.</w:t>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bookmarkStart w:id="10" w:name="image.4.20"/>
      <w:bookmarkEnd w:id="10"/>
      <w:r w:rsidRPr="00822607">
        <w:rPr>
          <w:rFonts w:ascii="Tahoma" w:eastAsia="Times New Roman" w:hAnsi="Tahoma" w:cs="Tahoma"/>
          <w:noProof/>
          <w:color w:val="000000"/>
          <w:sz w:val="18"/>
          <w:szCs w:val="18"/>
          <w:lang w:eastAsia="ru-KZ"/>
        </w:rPr>
        <w:drawing>
          <wp:inline distT="0" distB="0" distL="0" distR="0" wp14:anchorId="441BEE90" wp14:editId="7C1F2D3E">
            <wp:extent cx="4095115" cy="2878455"/>
            <wp:effectExtent l="0" t="0" r="635" b="0"/>
            <wp:docPr id="20" name="Рисунок 20" descr="Этапы отработки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Этапы отработки рис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115" cy="2878455"/>
                    </a:xfrm>
                    <a:prstGeom prst="rect">
                      <a:avLst/>
                    </a:prstGeom>
                    <a:noFill/>
                    <a:ln>
                      <a:noFill/>
                    </a:ln>
                  </pic:spPr>
                </pic:pic>
              </a:graphicData>
            </a:graphic>
          </wp:inline>
        </w:drawing>
      </w:r>
    </w:p>
    <w:p w:rsidR="00822607" w:rsidRPr="00822607" w:rsidRDefault="00822607" w:rsidP="00822607">
      <w:pPr>
        <w:shd w:val="clear" w:color="auto" w:fill="FFFFFF"/>
        <w:spacing w:after="0" w:line="240" w:lineRule="auto"/>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br/>
      </w:r>
      <w:r w:rsidRPr="00822607">
        <w:rPr>
          <w:rFonts w:ascii="Tahoma" w:eastAsia="Times New Roman" w:hAnsi="Tahoma" w:cs="Tahoma"/>
          <w:b/>
          <w:bCs/>
          <w:color w:val="000000"/>
          <w:sz w:val="18"/>
          <w:szCs w:val="18"/>
          <w:lang w:eastAsia="ru-KZ"/>
        </w:rPr>
        <w:t>Рис. 4.20. </w:t>
      </w:r>
      <w:r w:rsidRPr="00822607">
        <w:rPr>
          <w:rFonts w:ascii="Tahoma" w:eastAsia="Times New Roman" w:hAnsi="Tahoma" w:cs="Tahoma"/>
          <w:color w:val="000000"/>
          <w:sz w:val="18"/>
          <w:szCs w:val="18"/>
          <w:lang w:eastAsia="ru-KZ"/>
        </w:rPr>
        <w:t>Этапы отработки риска</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В основе методов, подобных CRAMM, лежит комплексный подход к оценке рисков, сочетающий количественные и качественные методы анализа. Метод является универсальным и подходит как для больших, так и для мелких организаций, как правительственного, так и коммерческого сектора.</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К сильным сторонам метода CRAMM относится следующее:</w:t>
      </w:r>
    </w:p>
    <w:p w:rsidR="00822607" w:rsidRPr="00822607" w:rsidRDefault="00822607" w:rsidP="00822607">
      <w:pPr>
        <w:numPr>
          <w:ilvl w:val="0"/>
          <w:numId w:val="3"/>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lastRenderedPageBreak/>
        <w:t>CRAMM является хорошо структурированным и широко опробованным методом анализа рисков, позволяющим получать реальные практические результаты;</w:t>
      </w:r>
    </w:p>
    <w:p w:rsidR="00822607" w:rsidRPr="00822607" w:rsidRDefault="00822607" w:rsidP="00822607">
      <w:pPr>
        <w:numPr>
          <w:ilvl w:val="0"/>
          <w:numId w:val="3"/>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программный инструментарий CRAMM может использоваться на всех стадиях проведения аудита безопасности ИС;</w:t>
      </w:r>
    </w:p>
    <w:p w:rsidR="00822607" w:rsidRPr="00822607" w:rsidRDefault="00822607" w:rsidP="00822607">
      <w:pPr>
        <w:numPr>
          <w:ilvl w:val="0"/>
          <w:numId w:val="3"/>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в основе программного продукта лежит достаточно объемная база знаний по контрмерам в области информационной безопасности, базирующаяся на рекомендациях стандарта BS 7799;</w:t>
      </w:r>
    </w:p>
    <w:p w:rsidR="00822607" w:rsidRPr="00822607" w:rsidRDefault="00822607" w:rsidP="00822607">
      <w:pPr>
        <w:numPr>
          <w:ilvl w:val="0"/>
          <w:numId w:val="3"/>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гибкость и универсальность метода CRAMM позволяет использовать его для аудита ИС любого уровня сложности и назначения;</w:t>
      </w:r>
    </w:p>
    <w:p w:rsidR="00822607" w:rsidRPr="00822607" w:rsidRDefault="00822607" w:rsidP="00822607">
      <w:pPr>
        <w:numPr>
          <w:ilvl w:val="0"/>
          <w:numId w:val="3"/>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CRAMM можно использовать в качестве инструмента для разработки плана непрерывности бизнеса и политик информационной безопасности организации;</w:t>
      </w:r>
    </w:p>
    <w:p w:rsidR="00822607" w:rsidRPr="00822607" w:rsidRDefault="00822607" w:rsidP="00822607">
      <w:pPr>
        <w:numPr>
          <w:ilvl w:val="0"/>
          <w:numId w:val="3"/>
        </w:numPr>
        <w:spacing w:before="36" w:after="36" w:line="240" w:lineRule="atLeast"/>
        <w:ind w:left="120"/>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CRAMM может использоваться в качестве средства документирования механизмов безопасности ИС.</w:t>
      </w:r>
    </w:p>
    <w:p w:rsidR="00822607" w:rsidRPr="00822607" w:rsidRDefault="00822607" w:rsidP="00822607">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822607">
        <w:rPr>
          <w:rFonts w:ascii="Tahoma" w:eastAsia="Times New Roman" w:hAnsi="Tahoma" w:cs="Tahoma"/>
          <w:color w:val="000000"/>
          <w:sz w:val="18"/>
          <w:szCs w:val="18"/>
          <w:lang w:eastAsia="ru-KZ"/>
        </w:rPr>
        <w:t>Для коммерческих организаций имеется коммерческий профиль стандартов безопасности (</w:t>
      </w:r>
      <w:proofErr w:type="spellStart"/>
      <w:r w:rsidRPr="00822607">
        <w:rPr>
          <w:rFonts w:ascii="Tahoma" w:eastAsia="Times New Roman" w:hAnsi="Tahoma" w:cs="Tahoma"/>
          <w:color w:val="000000"/>
          <w:sz w:val="18"/>
          <w:szCs w:val="18"/>
          <w:lang w:eastAsia="ru-KZ"/>
        </w:rPr>
        <w:t>Commercial</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Profile</w:t>
      </w:r>
      <w:proofErr w:type="spellEnd"/>
      <w:r w:rsidRPr="00822607">
        <w:rPr>
          <w:rFonts w:ascii="Tahoma" w:eastAsia="Times New Roman" w:hAnsi="Tahoma" w:cs="Tahoma"/>
          <w:color w:val="000000"/>
          <w:sz w:val="18"/>
          <w:szCs w:val="18"/>
          <w:lang w:eastAsia="ru-KZ"/>
        </w:rPr>
        <w:t>), для правительственных организаций — правительственный (</w:t>
      </w:r>
      <w:proofErr w:type="spellStart"/>
      <w:r w:rsidRPr="00822607">
        <w:rPr>
          <w:rFonts w:ascii="Tahoma" w:eastAsia="Times New Roman" w:hAnsi="Tahoma" w:cs="Tahoma"/>
          <w:color w:val="000000"/>
          <w:sz w:val="18"/>
          <w:szCs w:val="18"/>
          <w:lang w:eastAsia="ru-KZ"/>
        </w:rPr>
        <w:t>Government</w:t>
      </w:r>
      <w:proofErr w:type="spellEnd"/>
      <w:r w:rsidRPr="00822607">
        <w:rPr>
          <w:rFonts w:ascii="Tahoma" w:eastAsia="Times New Roman" w:hAnsi="Tahoma" w:cs="Tahoma"/>
          <w:color w:val="000000"/>
          <w:sz w:val="18"/>
          <w:szCs w:val="18"/>
          <w:lang w:eastAsia="ru-KZ"/>
        </w:rPr>
        <w:t xml:space="preserve"> </w:t>
      </w:r>
      <w:proofErr w:type="spellStart"/>
      <w:r w:rsidRPr="00822607">
        <w:rPr>
          <w:rFonts w:ascii="Tahoma" w:eastAsia="Times New Roman" w:hAnsi="Tahoma" w:cs="Tahoma"/>
          <w:color w:val="000000"/>
          <w:sz w:val="18"/>
          <w:szCs w:val="18"/>
          <w:lang w:eastAsia="ru-KZ"/>
        </w:rPr>
        <w:t>Profile</w:t>
      </w:r>
      <w:proofErr w:type="spellEnd"/>
      <w:r w:rsidRPr="00822607">
        <w:rPr>
          <w:rFonts w:ascii="Tahoma" w:eastAsia="Times New Roman" w:hAnsi="Tahoma" w:cs="Tahoma"/>
          <w:color w:val="000000"/>
          <w:sz w:val="18"/>
          <w:szCs w:val="18"/>
          <w:lang w:eastAsia="ru-KZ"/>
        </w:rPr>
        <w:t>). Правительственный вариант профиля, также позволяет проводить аудит на соответствие требованиям американского стандарта TCSEC ("Оранжевая книга").</w:t>
      </w:r>
    </w:p>
    <w:p w:rsidR="007A4223" w:rsidRDefault="007A4223"/>
    <w:sectPr w:rsidR="007A4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A45F9"/>
    <w:multiLevelType w:val="multilevel"/>
    <w:tmpl w:val="58D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06F25"/>
    <w:multiLevelType w:val="multilevel"/>
    <w:tmpl w:val="3A90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05C0A"/>
    <w:multiLevelType w:val="multilevel"/>
    <w:tmpl w:val="4628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07"/>
    <w:rsid w:val="007A4223"/>
    <w:rsid w:val="0082260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2ED"/>
  <w15:chartTrackingRefBased/>
  <w15:docId w15:val="{5A28CC64-611D-4D96-9627-4CFB2FF0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152152">
      <w:bodyDiv w:val="1"/>
      <w:marLeft w:val="0"/>
      <w:marRight w:val="0"/>
      <w:marTop w:val="0"/>
      <w:marBottom w:val="0"/>
      <w:divBdr>
        <w:top w:val="none" w:sz="0" w:space="0" w:color="auto"/>
        <w:left w:val="none" w:sz="0" w:space="0" w:color="auto"/>
        <w:bottom w:val="none" w:sz="0" w:space="0" w:color="auto"/>
        <w:right w:val="none" w:sz="0" w:space="0" w:color="auto"/>
      </w:divBdr>
      <w:divsChild>
        <w:div w:id="933245534">
          <w:marLeft w:val="0"/>
          <w:marRight w:val="0"/>
          <w:marTop w:val="0"/>
          <w:marBottom w:val="0"/>
          <w:divBdr>
            <w:top w:val="none" w:sz="0" w:space="0" w:color="auto"/>
            <w:left w:val="none" w:sz="0" w:space="0" w:color="auto"/>
            <w:bottom w:val="none" w:sz="0" w:space="0" w:color="auto"/>
            <w:right w:val="none" w:sz="0" w:space="0" w:color="auto"/>
          </w:divBdr>
          <w:divsChild>
            <w:div w:id="1768309549">
              <w:marLeft w:val="0"/>
              <w:marRight w:val="0"/>
              <w:marTop w:val="0"/>
              <w:marBottom w:val="0"/>
              <w:divBdr>
                <w:top w:val="none" w:sz="0" w:space="0" w:color="auto"/>
                <w:left w:val="none" w:sz="0" w:space="0" w:color="auto"/>
                <w:bottom w:val="none" w:sz="0" w:space="0" w:color="auto"/>
                <w:right w:val="none" w:sz="0" w:space="0" w:color="auto"/>
              </w:divBdr>
            </w:div>
          </w:divsChild>
        </w:div>
        <w:div w:id="727609244">
          <w:marLeft w:val="0"/>
          <w:marRight w:val="0"/>
          <w:marTop w:val="0"/>
          <w:marBottom w:val="0"/>
          <w:divBdr>
            <w:top w:val="none" w:sz="0" w:space="0" w:color="auto"/>
            <w:left w:val="none" w:sz="0" w:space="0" w:color="auto"/>
            <w:bottom w:val="none" w:sz="0" w:space="0" w:color="auto"/>
            <w:right w:val="none" w:sz="0" w:space="0" w:color="auto"/>
          </w:divBdr>
          <w:divsChild>
            <w:div w:id="1438793049">
              <w:marLeft w:val="0"/>
              <w:marRight w:val="0"/>
              <w:marTop w:val="0"/>
              <w:marBottom w:val="0"/>
              <w:divBdr>
                <w:top w:val="none" w:sz="0" w:space="0" w:color="auto"/>
                <w:left w:val="none" w:sz="0" w:space="0" w:color="auto"/>
                <w:bottom w:val="none" w:sz="0" w:space="0" w:color="auto"/>
                <w:right w:val="none" w:sz="0" w:space="0" w:color="auto"/>
              </w:divBdr>
            </w:div>
          </w:divsChild>
        </w:div>
        <w:div w:id="420025424">
          <w:marLeft w:val="0"/>
          <w:marRight w:val="0"/>
          <w:marTop w:val="0"/>
          <w:marBottom w:val="0"/>
          <w:divBdr>
            <w:top w:val="none" w:sz="0" w:space="0" w:color="auto"/>
            <w:left w:val="none" w:sz="0" w:space="0" w:color="auto"/>
            <w:bottom w:val="none" w:sz="0" w:space="0" w:color="auto"/>
            <w:right w:val="none" w:sz="0" w:space="0" w:color="auto"/>
          </w:divBdr>
          <w:divsChild>
            <w:div w:id="1286623131">
              <w:marLeft w:val="0"/>
              <w:marRight w:val="0"/>
              <w:marTop w:val="0"/>
              <w:marBottom w:val="0"/>
              <w:divBdr>
                <w:top w:val="none" w:sz="0" w:space="0" w:color="auto"/>
                <w:left w:val="none" w:sz="0" w:space="0" w:color="auto"/>
                <w:bottom w:val="none" w:sz="0" w:space="0" w:color="auto"/>
                <w:right w:val="none" w:sz="0" w:space="0" w:color="auto"/>
              </w:divBdr>
            </w:div>
          </w:divsChild>
        </w:div>
        <w:div w:id="1742868319">
          <w:marLeft w:val="0"/>
          <w:marRight w:val="0"/>
          <w:marTop w:val="0"/>
          <w:marBottom w:val="0"/>
          <w:divBdr>
            <w:top w:val="none" w:sz="0" w:space="0" w:color="auto"/>
            <w:left w:val="none" w:sz="0" w:space="0" w:color="auto"/>
            <w:bottom w:val="none" w:sz="0" w:space="0" w:color="auto"/>
            <w:right w:val="none" w:sz="0" w:space="0" w:color="auto"/>
          </w:divBdr>
          <w:divsChild>
            <w:div w:id="1203832091">
              <w:marLeft w:val="0"/>
              <w:marRight w:val="0"/>
              <w:marTop w:val="0"/>
              <w:marBottom w:val="0"/>
              <w:divBdr>
                <w:top w:val="none" w:sz="0" w:space="0" w:color="auto"/>
                <w:left w:val="none" w:sz="0" w:space="0" w:color="auto"/>
                <w:bottom w:val="none" w:sz="0" w:space="0" w:color="auto"/>
                <w:right w:val="none" w:sz="0" w:space="0" w:color="auto"/>
              </w:divBdr>
            </w:div>
          </w:divsChild>
        </w:div>
        <w:div w:id="327831026">
          <w:marLeft w:val="0"/>
          <w:marRight w:val="0"/>
          <w:marTop w:val="0"/>
          <w:marBottom w:val="0"/>
          <w:divBdr>
            <w:top w:val="none" w:sz="0" w:space="0" w:color="auto"/>
            <w:left w:val="none" w:sz="0" w:space="0" w:color="auto"/>
            <w:bottom w:val="none" w:sz="0" w:space="0" w:color="auto"/>
            <w:right w:val="none" w:sz="0" w:space="0" w:color="auto"/>
          </w:divBdr>
          <w:divsChild>
            <w:div w:id="1324433072">
              <w:marLeft w:val="0"/>
              <w:marRight w:val="0"/>
              <w:marTop w:val="0"/>
              <w:marBottom w:val="0"/>
              <w:divBdr>
                <w:top w:val="none" w:sz="0" w:space="0" w:color="auto"/>
                <w:left w:val="none" w:sz="0" w:space="0" w:color="auto"/>
                <w:bottom w:val="none" w:sz="0" w:space="0" w:color="auto"/>
                <w:right w:val="none" w:sz="0" w:space="0" w:color="auto"/>
              </w:divBdr>
            </w:div>
          </w:divsChild>
        </w:div>
        <w:div w:id="372461396">
          <w:marLeft w:val="0"/>
          <w:marRight w:val="0"/>
          <w:marTop w:val="0"/>
          <w:marBottom w:val="0"/>
          <w:divBdr>
            <w:top w:val="none" w:sz="0" w:space="0" w:color="auto"/>
            <w:left w:val="none" w:sz="0" w:space="0" w:color="auto"/>
            <w:bottom w:val="none" w:sz="0" w:space="0" w:color="auto"/>
            <w:right w:val="none" w:sz="0" w:space="0" w:color="auto"/>
          </w:divBdr>
          <w:divsChild>
            <w:div w:id="1570454312">
              <w:marLeft w:val="0"/>
              <w:marRight w:val="0"/>
              <w:marTop w:val="0"/>
              <w:marBottom w:val="0"/>
              <w:divBdr>
                <w:top w:val="none" w:sz="0" w:space="0" w:color="auto"/>
                <w:left w:val="none" w:sz="0" w:space="0" w:color="auto"/>
                <w:bottom w:val="none" w:sz="0" w:space="0" w:color="auto"/>
                <w:right w:val="none" w:sz="0" w:space="0" w:color="auto"/>
              </w:divBdr>
            </w:div>
          </w:divsChild>
        </w:div>
        <w:div w:id="293214790">
          <w:marLeft w:val="0"/>
          <w:marRight w:val="0"/>
          <w:marTop w:val="0"/>
          <w:marBottom w:val="0"/>
          <w:divBdr>
            <w:top w:val="none" w:sz="0" w:space="0" w:color="auto"/>
            <w:left w:val="none" w:sz="0" w:space="0" w:color="auto"/>
            <w:bottom w:val="none" w:sz="0" w:space="0" w:color="auto"/>
            <w:right w:val="none" w:sz="0" w:space="0" w:color="auto"/>
          </w:divBdr>
          <w:divsChild>
            <w:div w:id="1764111454">
              <w:marLeft w:val="0"/>
              <w:marRight w:val="0"/>
              <w:marTop w:val="0"/>
              <w:marBottom w:val="0"/>
              <w:divBdr>
                <w:top w:val="none" w:sz="0" w:space="0" w:color="auto"/>
                <w:left w:val="none" w:sz="0" w:space="0" w:color="auto"/>
                <w:bottom w:val="none" w:sz="0" w:space="0" w:color="auto"/>
                <w:right w:val="none" w:sz="0" w:space="0" w:color="auto"/>
              </w:divBdr>
            </w:div>
          </w:divsChild>
        </w:div>
        <w:div w:id="774249377">
          <w:marLeft w:val="0"/>
          <w:marRight w:val="0"/>
          <w:marTop w:val="0"/>
          <w:marBottom w:val="0"/>
          <w:divBdr>
            <w:top w:val="none" w:sz="0" w:space="0" w:color="auto"/>
            <w:left w:val="none" w:sz="0" w:space="0" w:color="auto"/>
            <w:bottom w:val="none" w:sz="0" w:space="0" w:color="auto"/>
            <w:right w:val="none" w:sz="0" w:space="0" w:color="auto"/>
          </w:divBdr>
          <w:divsChild>
            <w:div w:id="2108232339">
              <w:marLeft w:val="0"/>
              <w:marRight w:val="0"/>
              <w:marTop w:val="0"/>
              <w:marBottom w:val="0"/>
              <w:divBdr>
                <w:top w:val="none" w:sz="0" w:space="0" w:color="auto"/>
                <w:left w:val="none" w:sz="0" w:space="0" w:color="auto"/>
                <w:bottom w:val="none" w:sz="0" w:space="0" w:color="auto"/>
                <w:right w:val="none" w:sz="0" w:space="0" w:color="auto"/>
              </w:divBdr>
            </w:div>
          </w:divsChild>
        </w:div>
        <w:div w:id="163593006">
          <w:marLeft w:val="0"/>
          <w:marRight w:val="0"/>
          <w:marTop w:val="0"/>
          <w:marBottom w:val="0"/>
          <w:divBdr>
            <w:top w:val="none" w:sz="0" w:space="0" w:color="auto"/>
            <w:left w:val="none" w:sz="0" w:space="0" w:color="auto"/>
            <w:bottom w:val="none" w:sz="0" w:space="0" w:color="auto"/>
            <w:right w:val="none" w:sz="0" w:space="0" w:color="auto"/>
          </w:divBdr>
          <w:divsChild>
            <w:div w:id="1948653199">
              <w:marLeft w:val="0"/>
              <w:marRight w:val="0"/>
              <w:marTop w:val="0"/>
              <w:marBottom w:val="0"/>
              <w:divBdr>
                <w:top w:val="none" w:sz="0" w:space="0" w:color="auto"/>
                <w:left w:val="none" w:sz="0" w:space="0" w:color="auto"/>
                <w:bottom w:val="none" w:sz="0" w:space="0" w:color="auto"/>
                <w:right w:val="none" w:sz="0" w:space="0" w:color="auto"/>
              </w:divBdr>
            </w:div>
          </w:divsChild>
        </w:div>
        <w:div w:id="1193566566">
          <w:marLeft w:val="0"/>
          <w:marRight w:val="0"/>
          <w:marTop w:val="0"/>
          <w:marBottom w:val="0"/>
          <w:divBdr>
            <w:top w:val="none" w:sz="0" w:space="0" w:color="auto"/>
            <w:left w:val="none" w:sz="0" w:space="0" w:color="auto"/>
            <w:bottom w:val="none" w:sz="0" w:space="0" w:color="auto"/>
            <w:right w:val="none" w:sz="0" w:space="0" w:color="auto"/>
          </w:divBdr>
          <w:divsChild>
            <w:div w:id="8312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uit.ru/studies/professional_skill_improvements/17846/courses/1242/lecture/27501?page=3"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intuit.ru/studies/professional_skill_improvements/17846/courses/1242/lecture/27501?page=3" TargetMode="External"/><Relationship Id="rId7" Type="http://schemas.openxmlformats.org/officeDocument/2006/relationships/hyperlink" Target="https://intuit.ru/studies/professional_skill_improvements/17846/courses/1242/lecture/27501?page=3" TargetMode="External"/><Relationship Id="rId12" Type="http://schemas.openxmlformats.org/officeDocument/2006/relationships/hyperlink" Target="https://intuit.ru/studies/professional_skill_improvements/17846/courses/1242/lecture/27501?page=3"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intuit.ru/studies/professional_skill_improvements/17846/courses/1242/lecture/27501?page=3"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hyperlink" Target="https://intuit.ru/studies/professional_skill_improvements/17846/courses/1242/lecture/27501?page=3" TargetMode="External"/><Relationship Id="rId15" Type="http://schemas.openxmlformats.org/officeDocument/2006/relationships/hyperlink" Target="https://intuit.ru/studies/professional_skill_improvements/17846/courses/1242/lecture/27501?page=3" TargetMode="External"/><Relationship Id="rId23" Type="http://schemas.openxmlformats.org/officeDocument/2006/relationships/fontTable" Target="fontTable.xml"/><Relationship Id="rId10" Type="http://schemas.openxmlformats.org/officeDocument/2006/relationships/hyperlink" Target="https://intuit.ru/studies/professional_skill_improvements/17846/courses/1242/lecture/27501?page=3"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11348</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2023-10-11T03:12:00Z</dcterms:created>
  <dcterms:modified xsi:type="dcterms:W3CDTF">2023-10-11T03:13:00Z</dcterms:modified>
</cp:coreProperties>
</file>